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055694" w:rsidRDefault="00DF5AD6">
      <w:pPr>
        <w:pBdr>
          <w:top w:val="nil"/>
          <w:left w:val="nil"/>
          <w:bottom w:val="nil"/>
          <w:right w:val="nil"/>
          <w:between w:val="nil"/>
        </w:pBdr>
        <w:spacing w:after="120" w:line="240" w:lineRule="auto"/>
        <w:jc w:val="center"/>
        <w:rPr>
          <w:rFonts w:ascii="Arial" w:eastAsia="Arial" w:hAnsi="Arial" w:cs="Arial"/>
          <w:b/>
          <w:bCs/>
          <w:color w:val="000000"/>
          <w:sz w:val="72"/>
          <w:szCs w:val="72"/>
        </w:rPr>
      </w:pPr>
      <w:r>
        <w:rPr>
          <w:rFonts w:ascii="Arial" w:eastAsia="Arial" w:hAnsi="Arial" w:cs="Arial"/>
          <w:b/>
          <w:bCs/>
          <w:color w:val="000000"/>
          <w:sz w:val="72"/>
          <w:szCs w:val="72"/>
        </w:rPr>
        <w:t>CHASA (PTA) Risk Management Policy</w:t>
      </w:r>
    </w:p>
    <w:p w14:paraId="00000002" w14:textId="77777777" w:rsidR="00055694" w:rsidRDefault="00055694">
      <w:pPr>
        <w:pBdr>
          <w:top w:val="nil"/>
          <w:left w:val="nil"/>
          <w:bottom w:val="nil"/>
          <w:right w:val="nil"/>
          <w:between w:val="nil"/>
        </w:pBdr>
        <w:spacing w:after="240"/>
        <w:jc w:val="center"/>
        <w:rPr>
          <w:rFonts w:ascii="Arial" w:eastAsia="Arial" w:hAnsi="Arial" w:cs="Arial"/>
          <w:color w:val="000000"/>
          <w:sz w:val="28"/>
          <w:szCs w:val="28"/>
        </w:rPr>
      </w:pPr>
    </w:p>
    <w:p w14:paraId="00000003" w14:textId="77777777" w:rsidR="00055694" w:rsidRDefault="00DF5AD6">
      <w:pPr>
        <w:pBdr>
          <w:top w:val="nil"/>
          <w:left w:val="nil"/>
          <w:bottom w:val="nil"/>
          <w:right w:val="nil"/>
          <w:between w:val="nil"/>
        </w:pBdr>
        <w:spacing w:after="240"/>
        <w:jc w:val="center"/>
        <w:rPr>
          <w:rFonts w:ascii="Arial" w:eastAsia="Arial" w:hAnsi="Arial" w:cs="Arial"/>
          <w:color w:val="000000"/>
          <w:sz w:val="28"/>
          <w:szCs w:val="28"/>
        </w:rPr>
      </w:pPr>
      <w:r>
        <w:rPr>
          <w:rFonts w:ascii="Arial" w:eastAsia="Arial" w:hAnsi="Arial" w:cs="Arial"/>
          <w:color w:val="000000"/>
          <w:sz w:val="28"/>
          <w:szCs w:val="28"/>
        </w:rPr>
        <w:t>Crayke Church of England Primary School</w:t>
      </w:r>
    </w:p>
    <w:p w14:paraId="00000005" w14:textId="77777777" w:rsidR="00055694" w:rsidRDefault="00055694" w:rsidP="7FBF6DE6">
      <w:pPr>
        <w:pBdr>
          <w:top w:val="nil"/>
          <w:left w:val="nil"/>
          <w:bottom w:val="nil"/>
          <w:right w:val="nil"/>
          <w:between w:val="nil"/>
        </w:pBdr>
        <w:spacing w:after="120" w:line="240" w:lineRule="auto"/>
        <w:jc w:val="center"/>
        <w:rPr>
          <w:rFonts w:ascii="Arial" w:eastAsia="Arial" w:hAnsi="Arial" w:cs="Arial"/>
          <w:color w:val="000000"/>
          <w:sz w:val="20"/>
          <w:szCs w:val="20"/>
        </w:rPr>
      </w:pPr>
    </w:p>
    <w:p w14:paraId="00000006" w14:textId="77777777" w:rsidR="00055694" w:rsidRDefault="00055694" w:rsidP="7FBF6DE6">
      <w:pPr>
        <w:pBdr>
          <w:top w:val="nil"/>
          <w:left w:val="nil"/>
          <w:bottom w:val="nil"/>
          <w:right w:val="nil"/>
          <w:between w:val="nil"/>
        </w:pBdr>
        <w:spacing w:after="120" w:line="240" w:lineRule="auto"/>
        <w:jc w:val="center"/>
        <w:rPr>
          <w:rFonts w:ascii="Arial" w:eastAsia="Arial" w:hAnsi="Arial" w:cs="Arial"/>
          <w:color w:val="00CF80"/>
          <w:sz w:val="20"/>
          <w:szCs w:val="20"/>
        </w:rPr>
      </w:pPr>
    </w:p>
    <w:p w14:paraId="00000007" w14:textId="77777777" w:rsidR="00055694" w:rsidRDefault="00055694" w:rsidP="7FBF6DE6">
      <w:pPr>
        <w:pBdr>
          <w:top w:val="nil"/>
          <w:left w:val="nil"/>
          <w:bottom w:val="nil"/>
          <w:right w:val="nil"/>
          <w:between w:val="nil"/>
        </w:pBdr>
        <w:spacing w:after="120" w:line="240" w:lineRule="auto"/>
        <w:jc w:val="center"/>
        <w:rPr>
          <w:rFonts w:ascii="Arial" w:eastAsia="Arial" w:hAnsi="Arial" w:cs="Arial"/>
          <w:color w:val="000000"/>
          <w:sz w:val="20"/>
          <w:szCs w:val="20"/>
        </w:rPr>
      </w:pPr>
    </w:p>
    <w:p w14:paraId="00000008" w14:textId="77777777" w:rsidR="00055694" w:rsidRDefault="00055694" w:rsidP="7FBF6DE6">
      <w:pPr>
        <w:pBdr>
          <w:top w:val="nil"/>
          <w:left w:val="nil"/>
          <w:bottom w:val="nil"/>
          <w:right w:val="nil"/>
          <w:between w:val="nil"/>
        </w:pBdr>
        <w:spacing w:after="120" w:line="240" w:lineRule="auto"/>
        <w:jc w:val="center"/>
        <w:rPr>
          <w:rFonts w:ascii="Arial" w:eastAsia="Arial" w:hAnsi="Arial" w:cs="Arial"/>
          <w:color w:val="000000"/>
          <w:sz w:val="20"/>
          <w:szCs w:val="20"/>
        </w:rPr>
      </w:pPr>
    </w:p>
    <w:p w14:paraId="00000009" w14:textId="77777777" w:rsidR="00055694" w:rsidRDefault="7FBF6DE6" w:rsidP="7FBF6DE6">
      <w:pPr>
        <w:pBdr>
          <w:top w:val="nil"/>
          <w:left w:val="nil"/>
          <w:bottom w:val="nil"/>
          <w:right w:val="nil"/>
          <w:between w:val="nil"/>
        </w:pBdr>
        <w:spacing w:after="120" w:line="240" w:lineRule="auto"/>
        <w:jc w:val="center"/>
        <w:rPr>
          <w:rFonts w:ascii="Arial" w:eastAsia="Arial" w:hAnsi="Arial" w:cs="Arial"/>
          <w:color w:val="000000"/>
          <w:sz w:val="20"/>
          <w:szCs w:val="20"/>
        </w:rPr>
      </w:pPr>
      <w:r>
        <w:rPr>
          <w:noProof/>
        </w:rPr>
        <w:drawing>
          <wp:inline distT="0" distB="0" distL="0" distR="0" wp14:anchorId="2A9B3048" wp14:editId="556DFCED">
            <wp:extent cx="5731510" cy="1687830"/>
            <wp:effectExtent l="0" t="0" r="0" b="0"/>
            <wp:docPr id="1" name="image1.png" descr="A black background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background with blue text&#10;&#10;AI-generated content may be incorrect."/>
                    <pic:cNvPicPr preferRelativeResize="0"/>
                  </pic:nvPicPr>
                  <pic:blipFill>
                    <a:blip r:embed="rId5"/>
                    <a:srcRect/>
                    <a:stretch>
                      <a:fillRect/>
                    </a:stretch>
                  </pic:blipFill>
                  <pic:spPr>
                    <a:xfrm>
                      <a:off x="0" y="0"/>
                      <a:ext cx="5731510" cy="1687830"/>
                    </a:xfrm>
                    <a:prstGeom prst="rect">
                      <a:avLst/>
                    </a:prstGeom>
                    <a:ln/>
                  </pic:spPr>
                </pic:pic>
              </a:graphicData>
            </a:graphic>
          </wp:inline>
        </w:drawing>
      </w:r>
    </w:p>
    <w:p w14:paraId="0000000A"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0B"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0C"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0D"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0E"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0F"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0"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1"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2"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3"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4"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15" w14:textId="77777777" w:rsidR="00055694" w:rsidRDefault="00055694">
      <w:pPr>
        <w:rPr>
          <w:b/>
          <w:bCs/>
        </w:rPr>
      </w:pPr>
    </w:p>
    <w:tbl>
      <w:tblPr>
        <w:tblStyle w:val="a"/>
        <w:tblW w:w="9720" w:type="dxa"/>
        <w:tblInd w:w="108" w:type="dxa"/>
        <w:tblBorders>
          <w:insideH w:val="single" w:sz="18" w:space="0" w:color="FFFFFF"/>
        </w:tblBorders>
        <w:tblLayout w:type="fixed"/>
        <w:tblLook w:val="0400" w:firstRow="0" w:lastRow="0" w:firstColumn="0" w:lastColumn="0" w:noHBand="0" w:noVBand="1"/>
      </w:tblPr>
      <w:tblGrid>
        <w:gridCol w:w="2586"/>
        <w:gridCol w:w="3268"/>
        <w:gridCol w:w="3866"/>
      </w:tblGrid>
      <w:tr w:rsidR="00055694" w14:paraId="5D06BC4F" w14:textId="77777777" w:rsidTr="7FBF6DE6">
        <w:tc>
          <w:tcPr>
            <w:tcW w:w="2586" w:type="dxa"/>
            <w:tcBorders>
              <w:top w:val="nil"/>
              <w:bottom w:val="single" w:sz="18" w:space="0" w:color="FFFFFF" w:themeColor="background1"/>
            </w:tcBorders>
            <w:shd w:val="clear" w:color="auto" w:fill="D8DFDE"/>
          </w:tcPr>
          <w:p w14:paraId="00000016" w14:textId="77777777" w:rsidR="00055694" w:rsidRDefault="7FBF6DE6" w:rsidP="7FBF6DE6">
            <w:pPr>
              <w:pBdr>
                <w:top w:val="nil"/>
                <w:left w:val="nil"/>
                <w:bottom w:val="nil"/>
                <w:right w:val="nil"/>
                <w:between w:val="nil"/>
              </w:pBdr>
              <w:spacing w:after="120" w:line="240" w:lineRule="auto"/>
              <w:rPr>
                <w:rFonts w:ascii="Arial" w:eastAsia="Arial" w:hAnsi="Arial" w:cs="Arial"/>
                <w:b/>
                <w:bCs/>
                <w:color w:val="000000"/>
                <w:sz w:val="20"/>
                <w:szCs w:val="20"/>
              </w:rPr>
            </w:pPr>
            <w:r w:rsidRPr="7FBF6DE6">
              <w:rPr>
                <w:rFonts w:ascii="Arial" w:eastAsia="Arial" w:hAnsi="Arial" w:cs="Arial"/>
                <w:b/>
                <w:bCs/>
                <w:color w:val="000000"/>
                <w:sz w:val="20"/>
                <w:szCs w:val="20"/>
              </w:rPr>
              <w:t>Approved by:</w:t>
            </w:r>
          </w:p>
        </w:tc>
        <w:tc>
          <w:tcPr>
            <w:tcW w:w="3268" w:type="dxa"/>
            <w:tcBorders>
              <w:top w:val="nil"/>
              <w:bottom w:val="single" w:sz="18" w:space="0" w:color="FFFFFF" w:themeColor="background1"/>
            </w:tcBorders>
            <w:shd w:val="clear" w:color="auto" w:fill="D8DFDE"/>
          </w:tcPr>
          <w:p w14:paraId="00000017" w14:textId="77777777" w:rsidR="00055694" w:rsidRDefault="7FBF6DE6" w:rsidP="7FBF6DE6">
            <w:pPr>
              <w:pBdr>
                <w:top w:val="nil"/>
                <w:left w:val="nil"/>
                <w:bottom w:val="nil"/>
                <w:right w:val="nil"/>
                <w:between w:val="nil"/>
              </w:pBdr>
              <w:spacing w:after="120" w:line="240" w:lineRule="auto"/>
              <w:rPr>
                <w:rFonts w:ascii="Arial" w:eastAsia="Arial" w:hAnsi="Arial" w:cs="Arial"/>
                <w:color w:val="000000"/>
                <w:sz w:val="20"/>
                <w:szCs w:val="20"/>
              </w:rPr>
            </w:pPr>
            <w:r w:rsidRPr="7FBF6DE6">
              <w:rPr>
                <w:rFonts w:ascii="Arial" w:eastAsia="Arial" w:hAnsi="Arial" w:cs="Arial"/>
                <w:color w:val="000000"/>
                <w:sz w:val="20"/>
                <w:szCs w:val="20"/>
              </w:rPr>
              <w:t>CHASA Committee</w:t>
            </w:r>
          </w:p>
        </w:tc>
        <w:tc>
          <w:tcPr>
            <w:tcW w:w="3866" w:type="dxa"/>
            <w:tcBorders>
              <w:top w:val="nil"/>
              <w:bottom w:val="single" w:sz="18" w:space="0" w:color="FFFFFF" w:themeColor="background1"/>
            </w:tcBorders>
            <w:shd w:val="clear" w:color="auto" w:fill="D8DFDE"/>
          </w:tcPr>
          <w:p w14:paraId="00000018" w14:textId="77777777" w:rsidR="00055694" w:rsidRDefault="7FBF6DE6" w:rsidP="7FBF6DE6">
            <w:pPr>
              <w:rPr>
                <w:b/>
                <w:bCs/>
              </w:rPr>
            </w:pPr>
            <w:r w:rsidRPr="7FBF6DE6">
              <w:rPr>
                <w:b/>
                <w:bCs/>
              </w:rPr>
              <w:t>Date: September 2026</w:t>
            </w:r>
          </w:p>
        </w:tc>
      </w:tr>
      <w:tr w:rsidR="00055694" w14:paraId="2DA47292" w14:textId="77777777" w:rsidTr="7FBF6DE6">
        <w:tc>
          <w:tcPr>
            <w:tcW w:w="2586" w:type="dxa"/>
            <w:tcBorders>
              <w:top w:val="single" w:sz="18" w:space="0" w:color="FFFFFF" w:themeColor="background1"/>
              <w:bottom w:val="single" w:sz="18" w:space="0" w:color="FFFFFF" w:themeColor="background1"/>
            </w:tcBorders>
            <w:shd w:val="clear" w:color="auto" w:fill="D8DFDE"/>
          </w:tcPr>
          <w:p w14:paraId="00000019" w14:textId="77777777" w:rsidR="00055694" w:rsidRDefault="7FBF6DE6" w:rsidP="7FBF6DE6">
            <w:pPr>
              <w:pBdr>
                <w:top w:val="nil"/>
                <w:left w:val="nil"/>
                <w:bottom w:val="nil"/>
                <w:right w:val="nil"/>
                <w:between w:val="nil"/>
              </w:pBdr>
              <w:spacing w:after="120" w:line="240" w:lineRule="auto"/>
              <w:rPr>
                <w:rFonts w:ascii="Arial" w:eastAsia="Arial" w:hAnsi="Arial" w:cs="Arial"/>
                <w:b/>
                <w:bCs/>
                <w:color w:val="000000"/>
                <w:sz w:val="20"/>
                <w:szCs w:val="20"/>
              </w:rPr>
            </w:pPr>
            <w:r w:rsidRPr="7FBF6DE6">
              <w:rPr>
                <w:rFonts w:ascii="Arial" w:eastAsia="Arial" w:hAnsi="Arial" w:cs="Arial"/>
                <w:b/>
                <w:bCs/>
                <w:color w:val="000000"/>
                <w:sz w:val="20"/>
                <w:szCs w:val="20"/>
              </w:rPr>
              <w:t>Last reviewed on:</w:t>
            </w:r>
          </w:p>
        </w:tc>
        <w:tc>
          <w:tcPr>
            <w:tcW w:w="7134" w:type="dxa"/>
            <w:gridSpan w:val="2"/>
            <w:tcBorders>
              <w:top w:val="single" w:sz="18" w:space="0" w:color="FFFFFF" w:themeColor="background1"/>
              <w:bottom w:val="single" w:sz="18" w:space="0" w:color="FFFFFF" w:themeColor="background1"/>
            </w:tcBorders>
            <w:shd w:val="clear" w:color="auto" w:fill="D8DFDE"/>
          </w:tcPr>
          <w:p w14:paraId="0000001A" w14:textId="77777777" w:rsidR="00055694" w:rsidRDefault="7FBF6DE6" w:rsidP="7FBF6DE6">
            <w:pPr>
              <w:rPr>
                <w:b/>
                <w:bCs/>
              </w:rPr>
            </w:pPr>
            <w:r w:rsidRPr="7FBF6DE6">
              <w:rPr>
                <w:b/>
                <w:bCs/>
              </w:rPr>
              <w:t>17th September 2026</w:t>
            </w:r>
          </w:p>
        </w:tc>
      </w:tr>
      <w:tr w:rsidR="00055694" w14:paraId="5D37221F" w14:textId="77777777" w:rsidTr="7FBF6DE6">
        <w:tc>
          <w:tcPr>
            <w:tcW w:w="2586" w:type="dxa"/>
            <w:tcBorders>
              <w:top w:val="single" w:sz="18" w:space="0" w:color="FFFFFF" w:themeColor="background1"/>
              <w:bottom w:val="nil"/>
            </w:tcBorders>
            <w:shd w:val="clear" w:color="auto" w:fill="D8DFDE"/>
          </w:tcPr>
          <w:p w14:paraId="0000001C" w14:textId="77777777" w:rsidR="00055694" w:rsidRDefault="7FBF6DE6" w:rsidP="7FBF6DE6">
            <w:pPr>
              <w:pBdr>
                <w:top w:val="nil"/>
                <w:left w:val="nil"/>
                <w:bottom w:val="nil"/>
                <w:right w:val="nil"/>
                <w:between w:val="nil"/>
              </w:pBdr>
              <w:spacing w:after="120" w:line="240" w:lineRule="auto"/>
              <w:rPr>
                <w:rFonts w:ascii="Arial" w:eastAsia="Arial" w:hAnsi="Arial" w:cs="Arial"/>
                <w:b/>
                <w:bCs/>
                <w:color w:val="000000"/>
                <w:sz w:val="20"/>
                <w:szCs w:val="20"/>
              </w:rPr>
            </w:pPr>
            <w:r w:rsidRPr="7FBF6DE6">
              <w:rPr>
                <w:rFonts w:ascii="Arial" w:eastAsia="Arial" w:hAnsi="Arial" w:cs="Arial"/>
                <w:b/>
                <w:bCs/>
                <w:color w:val="000000"/>
                <w:sz w:val="20"/>
                <w:szCs w:val="20"/>
              </w:rPr>
              <w:t>Next review due by:</w:t>
            </w:r>
          </w:p>
        </w:tc>
        <w:tc>
          <w:tcPr>
            <w:tcW w:w="7134" w:type="dxa"/>
            <w:gridSpan w:val="2"/>
            <w:tcBorders>
              <w:top w:val="single" w:sz="18" w:space="0" w:color="FFFFFF" w:themeColor="background1"/>
              <w:bottom w:val="nil"/>
            </w:tcBorders>
            <w:shd w:val="clear" w:color="auto" w:fill="D8DFDE"/>
          </w:tcPr>
          <w:p w14:paraId="0000001D" w14:textId="77777777" w:rsidR="00055694" w:rsidRDefault="7FBF6DE6" w:rsidP="7FBF6DE6">
            <w:pPr>
              <w:rPr>
                <w:b/>
                <w:bCs/>
              </w:rPr>
            </w:pPr>
            <w:r w:rsidRPr="7FBF6DE6">
              <w:rPr>
                <w:b/>
                <w:bCs/>
              </w:rPr>
              <w:t>September 2027</w:t>
            </w:r>
          </w:p>
        </w:tc>
      </w:tr>
    </w:tbl>
    <w:p w14:paraId="0000001F" w14:textId="77777777" w:rsidR="00055694" w:rsidRDefault="00055694" w:rsidP="7FBF6DE6">
      <w:pPr>
        <w:pBdr>
          <w:top w:val="nil"/>
          <w:left w:val="nil"/>
          <w:bottom w:val="nil"/>
          <w:right w:val="nil"/>
          <w:between w:val="nil"/>
        </w:pBdr>
        <w:spacing w:after="120" w:line="240" w:lineRule="auto"/>
        <w:rPr>
          <w:rFonts w:ascii="Arial" w:eastAsia="Arial" w:hAnsi="Arial" w:cs="Arial"/>
          <w:color w:val="000000"/>
          <w:sz w:val="20"/>
          <w:szCs w:val="20"/>
        </w:rPr>
      </w:pPr>
    </w:p>
    <w:p w14:paraId="00000020" w14:textId="77777777" w:rsidR="00055694" w:rsidRDefault="00055694"/>
    <w:p w14:paraId="00000021" w14:textId="77777777" w:rsidR="00055694" w:rsidRDefault="00055694"/>
    <w:p w14:paraId="00000022" w14:textId="77777777" w:rsidR="00055694" w:rsidRDefault="7FBF6DE6">
      <w:pPr>
        <w:keepNext/>
        <w:rPr>
          <w:rFonts w:ascii="MrEavesXLSanOT" w:eastAsia="MrEavesXLSanOT" w:hAnsi="MrEavesXLSanOT" w:cs="MrEavesXLSanOT"/>
          <w:b/>
          <w:bCs/>
        </w:rPr>
      </w:pPr>
      <w:r>
        <w:rPr>
          <w:b/>
          <w:bCs/>
          <w:color w:val="550A4B"/>
          <w:sz w:val="24"/>
          <w:szCs w:val="24"/>
        </w:rPr>
        <w:t>Introduction</w:t>
      </w:r>
    </w:p>
    <w:p w14:paraId="00000023" w14:textId="77777777" w:rsidR="00055694" w:rsidRDefault="7FBF6DE6" w:rsidP="7FBF6DE6">
      <w:pPr>
        <w:pBdr>
          <w:top w:val="nil"/>
          <w:left w:val="nil"/>
          <w:bottom w:val="nil"/>
          <w:right w:val="nil"/>
          <w:between w:val="nil"/>
        </w:pBdr>
        <w:spacing w:after="0" w:line="240" w:lineRule="auto"/>
        <w:rPr>
          <w:color w:val="000000"/>
          <w:sz w:val="24"/>
          <w:szCs w:val="24"/>
          <w:lang w:val="en-US"/>
        </w:rPr>
      </w:pPr>
      <w:r w:rsidRPr="7FBF6DE6">
        <w:rPr>
          <w:b/>
          <w:bCs/>
          <w:color w:val="000000"/>
          <w:lang w:val="en-US"/>
        </w:rPr>
        <w:t>This policy sets out CHASA’s proportionate approach to identifying, assessing, controlling, monitoring and reviewing risks across its governance, finances, fundraising, events and other activities.</w:t>
      </w:r>
    </w:p>
    <w:p w14:paraId="00000024" w14:textId="77777777" w:rsidR="00055694" w:rsidRDefault="7FBF6DE6" w:rsidP="7FBF6DE6">
      <w:pPr>
        <w:pBdr>
          <w:top w:val="nil"/>
          <w:left w:val="nil"/>
          <w:bottom w:val="nil"/>
          <w:right w:val="nil"/>
          <w:between w:val="nil"/>
        </w:pBdr>
        <w:spacing w:after="0" w:line="240" w:lineRule="auto"/>
        <w:rPr>
          <w:color w:val="000000"/>
          <w:sz w:val="24"/>
          <w:szCs w:val="24"/>
          <w:lang w:val="en-US"/>
        </w:rPr>
      </w:pPr>
      <w:r w:rsidRPr="7FBF6DE6">
        <w:rPr>
          <w:b/>
          <w:bCs/>
          <w:color w:val="000000"/>
          <w:lang w:val="en-US"/>
        </w:rPr>
        <w:t>It applies to all committee members and volunteers acting on behalf of CHASA. The committee retains collective responsibility for risk management, although named people may be assigned individual actions.</w:t>
      </w:r>
    </w:p>
    <w:p w14:paraId="00000025" w14:textId="77777777" w:rsidR="00055694" w:rsidRDefault="7FBF6DE6" w:rsidP="7FBF6DE6">
      <w:pPr>
        <w:pBdr>
          <w:top w:val="nil"/>
          <w:left w:val="nil"/>
          <w:bottom w:val="nil"/>
          <w:right w:val="nil"/>
          <w:between w:val="nil"/>
        </w:pBdr>
        <w:spacing w:after="0" w:line="240" w:lineRule="auto"/>
        <w:rPr>
          <w:color w:val="000000"/>
          <w:sz w:val="24"/>
          <w:szCs w:val="24"/>
          <w:lang w:val="en-US"/>
        </w:rPr>
      </w:pPr>
      <w:r w:rsidRPr="7FBF6DE6">
        <w:rPr>
          <w:b/>
          <w:bCs/>
          <w:color w:val="000000"/>
          <w:lang w:val="en-US"/>
        </w:rPr>
        <w:t>This policy will be reviewed at least annually and sooner following a significant incident, a material change in activity, or a relevant change in law, insurance requirements or guidance.</w:t>
      </w:r>
    </w:p>
    <w:p w14:paraId="00000026" w14:textId="77777777" w:rsidR="00055694" w:rsidRDefault="00055694">
      <w:pPr>
        <w:jc w:val="both"/>
        <w:rPr>
          <w:sz w:val="24"/>
          <w:szCs w:val="24"/>
        </w:rPr>
      </w:pPr>
    </w:p>
    <w:p w14:paraId="00000027" w14:textId="77777777" w:rsidR="00055694" w:rsidRDefault="7FBF6DE6">
      <w:pPr>
        <w:keepNext/>
        <w:jc w:val="both"/>
        <w:rPr>
          <w:b/>
          <w:bCs/>
          <w:color w:val="550A4B"/>
          <w:sz w:val="24"/>
          <w:szCs w:val="24"/>
        </w:rPr>
      </w:pPr>
      <w:r w:rsidRPr="7FBF6DE6">
        <w:rPr>
          <w:b/>
          <w:bCs/>
          <w:color w:val="550A4B"/>
          <w:sz w:val="24"/>
          <w:szCs w:val="24"/>
        </w:rPr>
        <w:t>Purpose</w:t>
      </w:r>
    </w:p>
    <w:p w14:paraId="00000028" w14:textId="77777777" w:rsidR="00055694" w:rsidRDefault="7FBF6DE6" w:rsidP="7FBF6DE6">
      <w:pPr>
        <w:jc w:val="both"/>
        <w:rPr>
          <w:sz w:val="24"/>
          <w:szCs w:val="24"/>
          <w:lang w:val="en-US"/>
        </w:rPr>
      </w:pPr>
      <w:r w:rsidRPr="7FBF6DE6">
        <w:rPr>
          <w:b/>
          <w:bCs/>
          <w:lang w:val="en-US"/>
        </w:rPr>
        <w:t>Risk management helps CHASA achieve its charitable aims while protecting children, volunteers, attendees, funds, assets, information and reputation. It is a continuous and proportionate process: identify risks early, assess their likelihood and impact, select practical controls, assign responsibility, record significant findings, and monitor the remaining risk.</w:t>
      </w:r>
    </w:p>
    <w:p w14:paraId="00000029" w14:textId="77777777" w:rsidR="00055694" w:rsidRDefault="00055694">
      <w:pPr>
        <w:jc w:val="both"/>
        <w:rPr>
          <w:b/>
          <w:bCs/>
          <w:sz w:val="24"/>
          <w:szCs w:val="24"/>
        </w:rPr>
      </w:pPr>
    </w:p>
    <w:p w14:paraId="0000002A" w14:textId="77777777" w:rsidR="00055694" w:rsidRDefault="7FBF6DE6">
      <w:pPr>
        <w:keepNext/>
        <w:rPr>
          <w:rFonts w:ascii="MrEavesXLSanOT" w:eastAsia="MrEavesXLSanOT" w:hAnsi="MrEavesXLSanOT" w:cs="MrEavesXLSanOT"/>
          <w:b/>
          <w:bCs/>
        </w:rPr>
      </w:pPr>
      <w:r w:rsidRPr="7FBF6DE6">
        <w:rPr>
          <w:b/>
          <w:bCs/>
        </w:rPr>
        <w:t>Committee Risk Oversight</w:t>
      </w:r>
    </w:p>
    <w:p w14:paraId="0000002B" w14:textId="77777777" w:rsidR="00055694" w:rsidRDefault="7FBF6DE6" w:rsidP="7FBF6DE6">
      <w:pPr>
        <w:rPr>
          <w:b/>
          <w:bCs/>
          <w:lang w:val="en-US"/>
        </w:rPr>
      </w:pPr>
      <w:r w:rsidRPr="7FBF6DE6">
        <w:rPr>
          <w:b/>
          <w:bCs/>
          <w:lang w:val="en-US"/>
        </w:rPr>
        <w:t>The committee will maintain oversight of CHASA’s principal risks and review them at least termly and whenever circumstances materially change. Risks may include governance and compliance, safeguarding, health and safety, finance and fraud, fundraising and cash handling, data protection and cyber security, insurance, third parties, reputation, volunteer capacity and business continuity.</w:t>
      </w:r>
    </w:p>
    <w:p w14:paraId="0000002C" w14:textId="77777777" w:rsidR="00055694" w:rsidRDefault="7FBF6DE6" w:rsidP="7FBF6DE6">
      <w:pPr>
        <w:rPr>
          <w:b/>
          <w:bCs/>
          <w:lang w:val="en-US"/>
        </w:rPr>
      </w:pPr>
      <w:r w:rsidRPr="7FBF6DE6">
        <w:rPr>
          <w:b/>
          <w:bCs/>
          <w:lang w:val="en-US"/>
        </w:rPr>
        <w:t>Significant risks will be recorded in a simple risk register showing the risk, likelihood and impact, existing controls, further action, responsible person, target or review date, and residual risk. The committee will decide whether to avoid, reduce, transfer or accept each risk and will record significant decisions.</w:t>
      </w:r>
    </w:p>
    <w:p w14:paraId="0000002D" w14:textId="77777777" w:rsidR="00055694" w:rsidRDefault="7FBF6DE6">
      <w:pPr>
        <w:keepNext/>
        <w:jc w:val="both"/>
        <w:rPr>
          <w:b/>
          <w:bCs/>
          <w:color w:val="550A4B"/>
          <w:sz w:val="24"/>
          <w:szCs w:val="24"/>
        </w:rPr>
      </w:pPr>
      <w:r w:rsidRPr="7FBF6DE6">
        <w:rPr>
          <w:b/>
          <w:bCs/>
        </w:rPr>
        <w:t>For every PTA event or activity:</w:t>
      </w:r>
    </w:p>
    <w:p w14:paraId="0000002E" w14:textId="77777777" w:rsidR="00055694" w:rsidRDefault="7FBF6DE6" w:rsidP="7FBF6DE6">
      <w:pPr>
        <w:numPr>
          <w:ilvl w:val="0"/>
          <w:numId w:val="1"/>
        </w:numPr>
        <w:pBdr>
          <w:top w:val="nil"/>
          <w:left w:val="nil"/>
          <w:bottom w:val="nil"/>
          <w:right w:val="nil"/>
          <w:between w:val="nil"/>
        </w:pBdr>
        <w:spacing w:after="0"/>
        <w:jc w:val="both"/>
        <w:rPr>
          <w:color w:val="000000"/>
          <w:sz w:val="24"/>
          <w:szCs w:val="24"/>
        </w:rPr>
      </w:pPr>
      <w:r w:rsidRPr="7FBF6DE6">
        <w:rPr>
          <w:b/>
          <w:bCs/>
          <w:color w:val="000000"/>
        </w:rPr>
        <w:t>A named committee member or competent event lead must complete and own a suitable and proportionate risk assessment early enough for controls to be put in place. The assessment must:</w:t>
      </w:r>
    </w:p>
    <w:p w14:paraId="0000002F" w14:textId="77777777" w:rsidR="00055694" w:rsidRDefault="7FBF6DE6" w:rsidP="7FBF6DE6">
      <w:pPr>
        <w:numPr>
          <w:ilvl w:val="0"/>
          <w:numId w:val="2"/>
        </w:numPr>
        <w:pBdr>
          <w:top w:val="nil"/>
          <w:left w:val="nil"/>
          <w:bottom w:val="nil"/>
          <w:right w:val="nil"/>
          <w:between w:val="nil"/>
        </w:pBdr>
        <w:spacing w:after="0"/>
        <w:jc w:val="both"/>
        <w:rPr>
          <w:color w:val="000000"/>
          <w:sz w:val="24"/>
          <w:szCs w:val="24"/>
          <w:lang w:val="en-US"/>
        </w:rPr>
      </w:pPr>
      <w:r w:rsidRPr="7FBF6DE6">
        <w:rPr>
          <w:b/>
          <w:bCs/>
          <w:color w:val="000000"/>
          <w:lang w:val="en-US"/>
        </w:rPr>
        <w:t>Identify significant hazards, including those arising during set-up, the event, clear-up and foreseeable emergencies</w:t>
      </w:r>
    </w:p>
    <w:p w14:paraId="00000030" w14:textId="77777777" w:rsidR="00055694" w:rsidRDefault="7FBF6DE6" w:rsidP="7FBF6DE6">
      <w:pPr>
        <w:numPr>
          <w:ilvl w:val="0"/>
          <w:numId w:val="2"/>
        </w:numPr>
        <w:pBdr>
          <w:top w:val="nil"/>
          <w:left w:val="nil"/>
          <w:bottom w:val="nil"/>
          <w:right w:val="nil"/>
          <w:between w:val="nil"/>
        </w:pBdr>
        <w:spacing w:after="0"/>
        <w:jc w:val="both"/>
        <w:rPr>
          <w:color w:val="000000"/>
          <w:sz w:val="24"/>
          <w:szCs w:val="24"/>
          <w:lang w:val="en-US"/>
        </w:rPr>
      </w:pPr>
      <w:r w:rsidRPr="7FBF6DE6">
        <w:rPr>
          <w:b/>
          <w:bCs/>
          <w:color w:val="000000"/>
          <w:lang w:val="en-US"/>
        </w:rPr>
        <w:t>Identify who may be harmed and how, including children, volunteers, visitors, contractors and people requiring additional support or reasonable adjustments</w:t>
      </w:r>
    </w:p>
    <w:p w14:paraId="00000031" w14:textId="77777777" w:rsidR="00055694" w:rsidRDefault="7FBF6DE6" w:rsidP="7FBF6DE6">
      <w:pPr>
        <w:numPr>
          <w:ilvl w:val="0"/>
          <w:numId w:val="2"/>
        </w:numPr>
        <w:pBdr>
          <w:top w:val="nil"/>
          <w:left w:val="nil"/>
          <w:bottom w:val="nil"/>
          <w:right w:val="nil"/>
          <w:between w:val="nil"/>
        </w:pBdr>
        <w:spacing w:after="0"/>
        <w:jc w:val="both"/>
        <w:rPr>
          <w:color w:val="000000"/>
          <w:sz w:val="24"/>
          <w:szCs w:val="24"/>
          <w:lang w:val="en-US"/>
        </w:rPr>
      </w:pPr>
      <w:r w:rsidRPr="7FBF6DE6">
        <w:rPr>
          <w:b/>
          <w:bCs/>
          <w:color w:val="000000"/>
          <w:lang w:val="en-US"/>
        </w:rPr>
        <w:t>Assess likelihood and impact, note existing controls, decide what further action is reasonably practicable, and assess the residual risk</w:t>
      </w:r>
    </w:p>
    <w:p w14:paraId="00000032" w14:textId="77777777" w:rsidR="00055694" w:rsidRDefault="7FBF6DE6" w:rsidP="7FBF6DE6">
      <w:pPr>
        <w:numPr>
          <w:ilvl w:val="0"/>
          <w:numId w:val="2"/>
        </w:numPr>
        <w:pBdr>
          <w:top w:val="nil"/>
          <w:left w:val="nil"/>
          <w:bottom w:val="nil"/>
          <w:right w:val="nil"/>
          <w:between w:val="nil"/>
        </w:pBdr>
        <w:spacing w:after="0"/>
        <w:jc w:val="both"/>
        <w:rPr>
          <w:color w:val="000000"/>
          <w:sz w:val="24"/>
          <w:szCs w:val="24"/>
        </w:rPr>
      </w:pPr>
      <w:r w:rsidRPr="7FBF6DE6">
        <w:rPr>
          <w:b/>
          <w:bCs/>
          <w:color w:val="000000"/>
        </w:rPr>
        <w:t>Record significant findings, the person responsible for each action and when it must be completed on the CHASA Risk Assessment template</w:t>
      </w:r>
    </w:p>
    <w:p w14:paraId="00000033" w14:textId="77777777" w:rsidR="00055694" w:rsidRDefault="7FBF6DE6" w:rsidP="7FBF6DE6">
      <w:pPr>
        <w:numPr>
          <w:ilvl w:val="0"/>
          <w:numId w:val="2"/>
        </w:numPr>
        <w:pBdr>
          <w:top w:val="nil"/>
          <w:left w:val="nil"/>
          <w:bottom w:val="nil"/>
          <w:right w:val="nil"/>
          <w:between w:val="nil"/>
        </w:pBdr>
        <w:spacing w:after="0"/>
        <w:jc w:val="both"/>
        <w:rPr>
          <w:color w:val="000000"/>
          <w:sz w:val="24"/>
          <w:szCs w:val="24"/>
          <w:lang w:val="en-US"/>
        </w:rPr>
      </w:pPr>
      <w:r w:rsidRPr="7FBF6DE6">
        <w:rPr>
          <w:b/>
          <w:bCs/>
          <w:color w:val="000000"/>
          <w:lang w:val="en-US"/>
        </w:rPr>
        <w:t>Confirm controls are in place before opening and review the assessment whenever plans, weather, attendance, equipment, staffing or other circumstances change</w:t>
      </w:r>
    </w:p>
    <w:p w14:paraId="00000034" w14:textId="77777777" w:rsidR="00055694" w:rsidRDefault="00055694" w:rsidP="7FBF6DE6">
      <w:pPr>
        <w:pBdr>
          <w:top w:val="nil"/>
          <w:left w:val="nil"/>
          <w:bottom w:val="nil"/>
          <w:right w:val="nil"/>
          <w:between w:val="nil"/>
        </w:pBdr>
        <w:spacing w:after="0"/>
        <w:ind w:left="1440"/>
        <w:jc w:val="both"/>
        <w:rPr>
          <w:color w:val="000000"/>
          <w:sz w:val="24"/>
          <w:szCs w:val="24"/>
        </w:rPr>
      </w:pPr>
    </w:p>
    <w:p w14:paraId="00000035" w14:textId="77777777" w:rsidR="00055694" w:rsidRDefault="7FBF6DE6" w:rsidP="7FBF6DE6">
      <w:pPr>
        <w:numPr>
          <w:ilvl w:val="0"/>
          <w:numId w:val="1"/>
        </w:numPr>
        <w:pBdr>
          <w:top w:val="nil"/>
          <w:left w:val="nil"/>
          <w:bottom w:val="nil"/>
          <w:right w:val="nil"/>
          <w:between w:val="nil"/>
        </w:pBdr>
        <w:spacing w:after="0"/>
        <w:jc w:val="both"/>
        <w:rPr>
          <w:color w:val="000000"/>
          <w:sz w:val="24"/>
          <w:szCs w:val="24"/>
          <w:lang w:val="en-US"/>
        </w:rPr>
      </w:pPr>
      <w:r w:rsidRPr="7FBF6DE6">
        <w:rPr>
          <w:b/>
          <w:bCs/>
          <w:color w:val="000000"/>
          <w:lang w:val="en-US"/>
        </w:rPr>
        <w:t xml:space="preserve">Consult the school, venue, landowner and any relevant competent person. Confirm who controls the premises, which emergency and safeguarding procedures apply, and whether </w:t>
      </w:r>
      <w:proofErr w:type="spellStart"/>
      <w:r w:rsidRPr="7FBF6DE6">
        <w:rPr>
          <w:b/>
          <w:bCs/>
          <w:color w:val="000000"/>
          <w:lang w:val="en-US"/>
        </w:rPr>
        <w:t>licences</w:t>
      </w:r>
      <w:proofErr w:type="spellEnd"/>
      <w:r w:rsidRPr="7FBF6DE6">
        <w:rPr>
          <w:b/>
          <w:bCs/>
          <w:color w:val="000000"/>
          <w:lang w:val="en-US"/>
        </w:rPr>
        <w:t>, permissions, contractor documents or insurance evidence are required. Previous assessments may inform planning but must not simply be copied without checking current conditions.</w:t>
      </w:r>
    </w:p>
    <w:p w14:paraId="00000036" w14:textId="77777777" w:rsidR="00055694" w:rsidRDefault="00055694" w:rsidP="7FBF6DE6">
      <w:pPr>
        <w:pBdr>
          <w:top w:val="nil"/>
          <w:left w:val="nil"/>
          <w:bottom w:val="nil"/>
          <w:right w:val="nil"/>
          <w:between w:val="nil"/>
        </w:pBdr>
        <w:spacing w:after="0"/>
        <w:ind w:left="720"/>
        <w:jc w:val="both"/>
        <w:rPr>
          <w:color w:val="000000"/>
          <w:sz w:val="24"/>
          <w:szCs w:val="24"/>
        </w:rPr>
      </w:pPr>
    </w:p>
    <w:p w14:paraId="00000037" w14:textId="77777777" w:rsidR="00055694" w:rsidRDefault="7FBF6DE6" w:rsidP="7FBF6DE6">
      <w:pPr>
        <w:numPr>
          <w:ilvl w:val="0"/>
          <w:numId w:val="1"/>
        </w:numPr>
        <w:pBdr>
          <w:top w:val="nil"/>
          <w:left w:val="nil"/>
          <w:bottom w:val="nil"/>
          <w:right w:val="nil"/>
          <w:between w:val="nil"/>
        </w:pBdr>
        <w:spacing w:after="0"/>
        <w:jc w:val="both"/>
        <w:rPr>
          <w:color w:val="000000"/>
          <w:sz w:val="24"/>
          <w:szCs w:val="24"/>
          <w:lang w:val="en-US"/>
        </w:rPr>
      </w:pPr>
      <w:r w:rsidRPr="7FBF6DE6">
        <w:rPr>
          <w:b/>
          <w:bCs/>
          <w:color w:val="000000"/>
          <w:lang w:val="en-US"/>
        </w:rPr>
        <w:t xml:space="preserve">Use current guidance from </w:t>
      </w:r>
      <w:proofErr w:type="spellStart"/>
      <w:r w:rsidRPr="7FBF6DE6">
        <w:rPr>
          <w:b/>
          <w:bCs/>
          <w:color w:val="000000"/>
          <w:lang w:val="en-US"/>
        </w:rPr>
        <w:t>Parentkind</w:t>
      </w:r>
      <w:proofErr w:type="spellEnd"/>
      <w:r w:rsidRPr="7FBF6DE6">
        <w:rPr>
          <w:b/>
          <w:bCs/>
          <w:color w:val="000000"/>
          <w:lang w:val="en-US"/>
        </w:rPr>
        <w:t>, the Health and Safety Executive, the Charity Commission and other relevant authorities where appropriate.</w:t>
      </w:r>
    </w:p>
    <w:p w14:paraId="00000038" w14:textId="77777777" w:rsidR="00055694" w:rsidRDefault="00055694" w:rsidP="7FBF6DE6">
      <w:pPr>
        <w:pBdr>
          <w:top w:val="nil"/>
          <w:left w:val="nil"/>
          <w:bottom w:val="nil"/>
          <w:right w:val="nil"/>
          <w:between w:val="nil"/>
        </w:pBdr>
        <w:spacing w:after="0"/>
        <w:ind w:left="720"/>
        <w:rPr>
          <w:color w:val="000000"/>
          <w:sz w:val="24"/>
          <w:szCs w:val="24"/>
        </w:rPr>
      </w:pPr>
    </w:p>
    <w:p w14:paraId="00000039" w14:textId="77777777" w:rsidR="00055694" w:rsidRDefault="7FBF6DE6" w:rsidP="7FBF6DE6">
      <w:pPr>
        <w:numPr>
          <w:ilvl w:val="0"/>
          <w:numId w:val="1"/>
        </w:numPr>
        <w:pBdr>
          <w:top w:val="nil"/>
          <w:left w:val="nil"/>
          <w:bottom w:val="nil"/>
          <w:right w:val="nil"/>
          <w:between w:val="nil"/>
        </w:pBdr>
        <w:spacing w:after="0"/>
        <w:jc w:val="both"/>
        <w:rPr>
          <w:color w:val="000000"/>
          <w:sz w:val="24"/>
          <w:szCs w:val="24"/>
          <w:lang w:val="en-US"/>
        </w:rPr>
      </w:pPr>
      <w:r w:rsidRPr="7FBF6DE6">
        <w:rPr>
          <w:b/>
          <w:bCs/>
          <w:color w:val="000000"/>
          <w:lang w:val="en-US"/>
        </w:rPr>
        <w:t>Store the final risk assessment and related records securely in CHASA’s approved digital files. Retain them for the period required by CHASA’s insurers, legal obligations and records retention arrangements. Access must be limited appropriately, particularly where records contain personal, medical or safeguarding information.</w:t>
      </w:r>
    </w:p>
    <w:p w14:paraId="0000003A" w14:textId="77777777" w:rsidR="00055694" w:rsidRDefault="00055694" w:rsidP="7FBF6DE6">
      <w:pPr>
        <w:pBdr>
          <w:top w:val="nil"/>
          <w:left w:val="nil"/>
          <w:bottom w:val="nil"/>
          <w:right w:val="nil"/>
          <w:between w:val="nil"/>
        </w:pBdr>
        <w:spacing w:after="0"/>
        <w:ind w:left="720"/>
        <w:rPr>
          <w:color w:val="000000"/>
          <w:sz w:val="24"/>
          <w:szCs w:val="24"/>
        </w:rPr>
      </w:pPr>
    </w:p>
    <w:p w14:paraId="0000003B" w14:textId="77777777" w:rsidR="00055694" w:rsidRDefault="7FBF6DE6" w:rsidP="7FBF6DE6">
      <w:pPr>
        <w:numPr>
          <w:ilvl w:val="0"/>
          <w:numId w:val="1"/>
        </w:numPr>
        <w:pBdr>
          <w:top w:val="nil"/>
          <w:left w:val="nil"/>
          <w:bottom w:val="nil"/>
          <w:right w:val="nil"/>
          <w:between w:val="nil"/>
        </w:pBdr>
        <w:spacing w:after="0"/>
        <w:jc w:val="both"/>
        <w:rPr>
          <w:color w:val="000000"/>
          <w:sz w:val="24"/>
          <w:szCs w:val="24"/>
          <w:lang w:val="en-US"/>
        </w:rPr>
      </w:pPr>
      <w:r w:rsidRPr="7FBF6DE6">
        <w:rPr>
          <w:b/>
          <w:bCs/>
          <w:color w:val="000000"/>
          <w:lang w:val="en-US"/>
        </w:rPr>
        <w:t>Provide the school or venue with a copy where required and agree any actions or restrictions before the event.</w:t>
      </w:r>
    </w:p>
    <w:p w14:paraId="0000003C" w14:textId="77777777" w:rsidR="00055694" w:rsidRDefault="00055694" w:rsidP="7FBF6DE6">
      <w:pPr>
        <w:pBdr>
          <w:top w:val="nil"/>
          <w:left w:val="nil"/>
          <w:bottom w:val="nil"/>
          <w:right w:val="nil"/>
          <w:between w:val="nil"/>
        </w:pBdr>
        <w:spacing w:after="0"/>
        <w:ind w:left="720"/>
        <w:rPr>
          <w:color w:val="000000"/>
          <w:sz w:val="24"/>
          <w:szCs w:val="24"/>
        </w:rPr>
      </w:pPr>
    </w:p>
    <w:p w14:paraId="0000003D" w14:textId="77777777" w:rsidR="00055694" w:rsidRDefault="7FBF6DE6" w:rsidP="7FBF6DE6">
      <w:pPr>
        <w:numPr>
          <w:ilvl w:val="0"/>
          <w:numId w:val="1"/>
        </w:numPr>
        <w:pBdr>
          <w:top w:val="nil"/>
          <w:left w:val="nil"/>
          <w:bottom w:val="nil"/>
          <w:right w:val="nil"/>
          <w:between w:val="nil"/>
        </w:pBdr>
        <w:jc w:val="both"/>
        <w:rPr>
          <w:color w:val="000000"/>
          <w:sz w:val="24"/>
          <w:szCs w:val="24"/>
          <w:lang w:val="en-US"/>
        </w:rPr>
      </w:pPr>
      <w:r w:rsidRPr="7FBF6DE6">
        <w:rPr>
          <w:b/>
          <w:bCs/>
          <w:color w:val="000000"/>
          <w:lang w:val="en-US"/>
        </w:rPr>
        <w:t>Relevant committee members, volunteers, contractors and school or venue representatives must be briefed on the controls and emergency arrangements they need to follow. Volunteers must be given a clear route to report hazards or ask for help.</w:t>
      </w:r>
    </w:p>
    <w:p w14:paraId="0000003E" w14:textId="77777777" w:rsidR="00055694" w:rsidRDefault="7FBF6DE6">
      <w:pPr>
        <w:keepNext/>
        <w:rPr>
          <w:rFonts w:ascii="MrEavesXLSanOT" w:eastAsia="MrEavesXLSanOT" w:hAnsi="MrEavesXLSanOT" w:cs="MrEavesXLSanOT"/>
          <w:b/>
          <w:bCs/>
        </w:rPr>
      </w:pPr>
      <w:r w:rsidRPr="7FBF6DE6">
        <w:rPr>
          <w:b/>
          <w:bCs/>
        </w:rPr>
        <w:t>Event Controls and Emergency Planning</w:t>
      </w:r>
    </w:p>
    <w:p w14:paraId="0000003F" w14:textId="77777777" w:rsidR="00055694" w:rsidRDefault="7FBF6DE6" w:rsidP="7FBF6DE6">
      <w:pPr>
        <w:rPr>
          <w:b/>
          <w:bCs/>
          <w:lang w:val="en-US"/>
        </w:rPr>
      </w:pPr>
      <w:r w:rsidRPr="7FBF6DE6">
        <w:rPr>
          <w:b/>
          <w:bCs/>
          <w:lang w:val="en-US"/>
        </w:rPr>
        <w:t>Event planning must address the risks that are relevant and proportionate to the activity. These may include safeguarding and lost children, accessibility, capacity and crowd movement, fire and evacuation, first aid, food safety and allergens, alcohol and licensing, equipment and electrical safety, manual handling, vehicles, contractors, cash security, severe weather, cancellation and communication.</w:t>
      </w:r>
    </w:p>
    <w:p w14:paraId="00000040" w14:textId="77777777" w:rsidR="00055694" w:rsidRDefault="7FBF6DE6" w:rsidP="7FBF6DE6">
      <w:pPr>
        <w:rPr>
          <w:b/>
          <w:bCs/>
          <w:lang w:val="en-US"/>
        </w:rPr>
      </w:pPr>
      <w:r w:rsidRPr="7FBF6DE6">
        <w:rPr>
          <w:b/>
          <w:bCs/>
          <w:lang w:val="en-US"/>
        </w:rPr>
        <w:t xml:space="preserve">The event lead must establish who can </w:t>
      </w:r>
      <w:proofErr w:type="spellStart"/>
      <w:r w:rsidRPr="7FBF6DE6">
        <w:rPr>
          <w:b/>
          <w:bCs/>
          <w:lang w:val="en-US"/>
        </w:rPr>
        <w:t>authorise</w:t>
      </w:r>
      <w:proofErr w:type="spellEnd"/>
      <w:r w:rsidRPr="7FBF6DE6">
        <w:rPr>
          <w:b/>
          <w:bCs/>
          <w:lang w:val="en-US"/>
        </w:rPr>
        <w:t xml:space="preserve"> the event to open, pause, change or stop. Emergency arrangements must identify how to raise the alarm, summon emergency services, assist casualties, evacuate safely, account for children where applicable, communicate with attendees, and support anyone who may need additional help.</w:t>
      </w:r>
    </w:p>
    <w:p w14:paraId="00000041" w14:textId="77777777" w:rsidR="00055694" w:rsidRDefault="7FBF6DE6">
      <w:pPr>
        <w:keepNext/>
        <w:rPr>
          <w:rFonts w:ascii="MrEavesXLSanOT" w:eastAsia="MrEavesXLSanOT" w:hAnsi="MrEavesXLSanOT" w:cs="MrEavesXLSanOT"/>
          <w:b/>
          <w:bCs/>
        </w:rPr>
      </w:pPr>
      <w:r w:rsidRPr="7FBF6DE6">
        <w:rPr>
          <w:b/>
          <w:bCs/>
        </w:rPr>
        <w:t>Checks During the Activity</w:t>
      </w:r>
    </w:p>
    <w:p w14:paraId="00000042" w14:textId="77777777" w:rsidR="00055694" w:rsidRDefault="7FBF6DE6" w:rsidP="7FBF6DE6">
      <w:pPr>
        <w:rPr>
          <w:b/>
          <w:bCs/>
          <w:lang w:val="en-US"/>
        </w:rPr>
      </w:pPr>
      <w:r w:rsidRPr="7FBF6DE6">
        <w:rPr>
          <w:b/>
          <w:bCs/>
          <w:lang w:val="en-US"/>
        </w:rPr>
        <w:t>The event lead or delegated person will complete a brief pre-opening check and continue to monitor conditions. New hazards must be controlled promptly. If the risk cannot be reduced to an acceptable level, the affected activity must be paused or stopped. Any significant change and the action taken should be recorded.</w:t>
      </w:r>
    </w:p>
    <w:p w14:paraId="00000043" w14:textId="77777777" w:rsidR="00055694" w:rsidRDefault="7FBF6DE6">
      <w:pPr>
        <w:keepNext/>
        <w:rPr>
          <w:rFonts w:ascii="MrEavesXLSanOT" w:eastAsia="MrEavesXLSanOT" w:hAnsi="MrEavesXLSanOT" w:cs="MrEavesXLSanOT"/>
          <w:b/>
          <w:bCs/>
        </w:rPr>
      </w:pPr>
      <w:r w:rsidRPr="7FBF6DE6">
        <w:rPr>
          <w:b/>
          <w:bCs/>
        </w:rPr>
        <w:t>Accidents Incidents and Near Misses</w:t>
      </w:r>
    </w:p>
    <w:p w14:paraId="00000044" w14:textId="77777777" w:rsidR="00055694" w:rsidRDefault="7FBF6DE6" w:rsidP="7FBF6DE6">
      <w:pPr>
        <w:rPr>
          <w:b/>
          <w:bCs/>
          <w:lang w:val="en-US"/>
        </w:rPr>
      </w:pPr>
      <w:r w:rsidRPr="7FBF6DE6">
        <w:rPr>
          <w:b/>
          <w:bCs/>
          <w:lang w:val="en-US"/>
        </w:rPr>
        <w:t>Accidents, injuries, near misses, safeguarding concerns, property damage, data breaches and other significant incidents must be reported promptly to the event lead and Chairperson, recorded factually, and escalated to the school, venue, insurer, emergency services or relevant authority where required.</w:t>
      </w:r>
    </w:p>
    <w:p w14:paraId="00000045" w14:textId="77777777" w:rsidR="00055694" w:rsidRDefault="7FBF6DE6" w:rsidP="7FBF6DE6">
      <w:pPr>
        <w:rPr>
          <w:b/>
          <w:bCs/>
          <w:lang w:val="en-US"/>
        </w:rPr>
      </w:pPr>
      <w:r w:rsidRPr="7FBF6DE6">
        <w:rPr>
          <w:b/>
          <w:bCs/>
          <w:lang w:val="en-US"/>
        </w:rPr>
        <w:t>The committee will review significant incidents and near misses, identify lessons, update controls and consider whether the matter meets the Charity Commission threshold for a serious incident report. Safeguarding concerns must be handled under CHASA’s safeguarding policy and not investigated by the PTA.</w:t>
      </w:r>
    </w:p>
    <w:p w14:paraId="00000046" w14:textId="77777777" w:rsidR="00055694" w:rsidRDefault="7FBF6DE6">
      <w:pPr>
        <w:keepNext/>
        <w:rPr>
          <w:rFonts w:ascii="MrEavesXLSanOT" w:eastAsia="MrEavesXLSanOT" w:hAnsi="MrEavesXLSanOT" w:cs="MrEavesXLSanOT"/>
          <w:b/>
          <w:bCs/>
        </w:rPr>
      </w:pPr>
      <w:r w:rsidRPr="7FBF6DE6">
        <w:rPr>
          <w:b/>
          <w:bCs/>
        </w:rPr>
        <w:t>Insurance and Third Parties</w:t>
      </w:r>
    </w:p>
    <w:p w14:paraId="00000047" w14:textId="77777777" w:rsidR="00055694" w:rsidRDefault="7FBF6DE6" w:rsidP="7FBF6DE6">
      <w:pPr>
        <w:rPr>
          <w:b/>
          <w:bCs/>
          <w:lang w:val="en-US"/>
        </w:rPr>
      </w:pPr>
      <w:r w:rsidRPr="7FBF6DE6">
        <w:rPr>
          <w:b/>
          <w:bCs/>
          <w:lang w:val="en-US"/>
        </w:rPr>
        <w:t xml:space="preserve">Before approving an activity, CHASA will check that it falls within its insurance cover and complies with relevant conditions, exclusions and notification requirements. External providers and contractors must be suitable for the task and provide evidence of </w:t>
      </w:r>
      <w:proofErr w:type="spellStart"/>
      <w:r w:rsidRPr="7FBF6DE6">
        <w:rPr>
          <w:b/>
          <w:bCs/>
          <w:lang w:val="en-US"/>
        </w:rPr>
        <w:t>licences</w:t>
      </w:r>
      <w:proofErr w:type="spellEnd"/>
      <w:r w:rsidRPr="7FBF6DE6">
        <w:rPr>
          <w:b/>
          <w:bCs/>
          <w:lang w:val="en-US"/>
        </w:rPr>
        <w:t>, qualifications, insurance and risk controls where relevant. Using a contractor does not remove CHASA’s responsibility to coordinate risks within the event.</w:t>
      </w:r>
    </w:p>
    <w:p w14:paraId="00000048" w14:textId="77777777" w:rsidR="00055694" w:rsidRDefault="00055694" w:rsidP="7FBF6DE6">
      <w:pPr>
        <w:pBdr>
          <w:top w:val="nil"/>
          <w:left w:val="nil"/>
          <w:bottom w:val="nil"/>
          <w:right w:val="nil"/>
          <w:between w:val="nil"/>
        </w:pBdr>
        <w:ind w:left="720"/>
        <w:jc w:val="both"/>
        <w:rPr>
          <w:color w:val="000000"/>
          <w:sz w:val="24"/>
          <w:szCs w:val="24"/>
        </w:rPr>
      </w:pPr>
    </w:p>
    <w:p w14:paraId="00000049" w14:textId="77777777" w:rsidR="00055694" w:rsidRDefault="7FBF6DE6">
      <w:pPr>
        <w:jc w:val="both"/>
        <w:rPr>
          <w:sz w:val="24"/>
          <w:szCs w:val="24"/>
        </w:rPr>
      </w:pPr>
      <w:r w:rsidRPr="7FBF6DE6">
        <w:rPr>
          <w:b/>
          <w:bCs/>
        </w:rPr>
        <w:t>This policy and CHASA’s principal risks will be reviewed by the committee annually before the AGM, with interim reviews as described above.</w:t>
      </w:r>
    </w:p>
    <w:p w14:paraId="0000004A" w14:textId="77777777" w:rsidR="00055694" w:rsidRDefault="7FBF6DE6">
      <w:pPr>
        <w:keepNext/>
        <w:rPr>
          <w:rFonts w:ascii="MrEavesXLSanOT" w:eastAsia="MrEavesXLSanOT" w:hAnsi="MrEavesXLSanOT" w:cs="MrEavesXLSanOT"/>
          <w:b/>
          <w:bCs/>
          <w:color w:val="550A4B"/>
          <w:sz w:val="20"/>
          <w:szCs w:val="20"/>
        </w:rPr>
      </w:pPr>
      <w:r w:rsidRPr="7FBF6DE6">
        <w:rPr>
          <w:b/>
          <w:bCs/>
        </w:rPr>
        <w:t>Useful guidance:</w:t>
      </w:r>
    </w:p>
    <w:p w14:paraId="0000004B" w14:textId="77777777" w:rsidR="00055694" w:rsidRDefault="7FBF6DE6" w:rsidP="7FBF6DE6">
      <w:pPr>
        <w:rPr>
          <w:rFonts w:ascii="MrEavesXLSanOT" w:eastAsia="MrEavesXLSanOT" w:hAnsi="MrEavesXLSanOT" w:cs="MrEavesXLSanOT"/>
          <w:sz w:val="20"/>
          <w:szCs w:val="20"/>
          <w:lang w:val="en-US"/>
        </w:rPr>
      </w:pPr>
      <w:proofErr w:type="spellStart"/>
      <w:r w:rsidRPr="7FBF6DE6">
        <w:rPr>
          <w:b/>
          <w:bCs/>
          <w:lang w:val="en-US"/>
        </w:rPr>
        <w:t>Parentkind</w:t>
      </w:r>
      <w:proofErr w:type="spellEnd"/>
      <w:r w:rsidRPr="7FBF6DE6">
        <w:rPr>
          <w:b/>
          <w:bCs/>
          <w:lang w:val="en-US"/>
        </w:rPr>
        <w:t xml:space="preserve"> resources: https://www.parentkind.org.uk/</w:t>
      </w:r>
      <w:r w:rsidR="00DF5AD6">
        <w:rPr>
          <w:b/>
          <w:bCs/>
          <w:highlight w:val="yellow"/>
        </w:rPr>
        <w:br/>
      </w:r>
      <w:r w:rsidRPr="7FBF6DE6">
        <w:rPr>
          <w:b/>
          <w:bCs/>
          <w:lang w:val="en-US"/>
        </w:rPr>
        <w:t>HSE event safety: https://www.hse.gov.uk/event-safety/</w:t>
      </w:r>
      <w:r w:rsidR="00DF5AD6">
        <w:rPr>
          <w:b/>
          <w:bCs/>
          <w:highlight w:val="yellow"/>
        </w:rPr>
        <w:br/>
      </w:r>
      <w:r w:rsidRPr="7FBF6DE6">
        <w:rPr>
          <w:b/>
          <w:bCs/>
          <w:lang w:val="en-US"/>
        </w:rPr>
        <w:t>HSE volunteer risk assessment guidance: https://www.hse.gov.uk/voluntary/employer/risk-assessment.htm</w:t>
      </w:r>
      <w:r w:rsidR="00DF5AD6">
        <w:rPr>
          <w:b/>
          <w:bCs/>
          <w:highlight w:val="yellow"/>
        </w:rPr>
        <w:br/>
      </w:r>
      <w:r w:rsidRPr="7FBF6DE6">
        <w:rPr>
          <w:b/>
          <w:bCs/>
          <w:lang w:val="en-US"/>
        </w:rPr>
        <w:t>Charity Commission risk management guidance CC26: https://www.gov.uk/government/publications/charities-and-risk-management-cc26</w:t>
      </w:r>
    </w:p>
    <w:sectPr w:rsidR="00055694">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D2C2781-C497-4FAE-B80F-84A88E031681}"/>
    <w:embedBold r:id="rId2" w:fontKey="{E951D1E4-FAA9-4D7B-8541-1C58217DCF4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5C558E50-4F64-44AF-AB63-67D59C5C6E3A}"/>
  </w:font>
  <w:font w:name="Arial">
    <w:panose1 w:val="020B0604020202020204"/>
    <w:charset w:val="00"/>
    <w:family w:val="swiss"/>
    <w:pitch w:val="variable"/>
    <w:sig w:usb0="E0002EFF" w:usb1="C000785B" w:usb2="00000009" w:usb3="00000000" w:csb0="000001FF" w:csb1="00000000"/>
  </w:font>
  <w:font w:name="MrEavesXLSanOT">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4A6D6D3A-B520-4AF0-9249-031538E59FD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44A88"/>
    <w:multiLevelType w:val="multilevel"/>
    <w:tmpl w:val="FFFFFFFF"/>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4F50BB19"/>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61321568">
    <w:abstractNumId w:val="1"/>
  </w:num>
  <w:num w:numId="2" w16cid:durableId="1424104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6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25B411A"/>
    <w:rsid w:val="00055694"/>
    <w:rsid w:val="001D7507"/>
    <w:rsid w:val="00812E60"/>
    <w:rsid w:val="009B533F"/>
    <w:rsid w:val="00DF5AD6"/>
    <w:rsid w:val="00E80AA2"/>
    <w:rsid w:val="225B411A"/>
    <w:rsid w:val="7FBF6D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CE96A4"/>
  <w15:docId w15:val="{DD7E4FF9-FDDC-426E-840C-3A9A0A670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57" w:type="dxa"/>
        <w:left w:w="115" w:type="dxa"/>
        <w:bottom w:w="57"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1007</Words>
  <Characters>5744</Characters>
  <Application>Microsoft Office Word</Application>
  <DocSecurity>4</DocSecurity>
  <Lines>47</Lines>
  <Paragraphs>13</Paragraphs>
  <ScaleCrop>false</ScaleCrop>
  <Company/>
  <LinksUpToDate>false</LinksUpToDate>
  <CharactersWithSpaces>6738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Bunker</dc:creator>
  <cp:keywords/>
  <cp:lastModifiedBy>bleggott</cp:lastModifiedBy>
  <cp:revision>2</cp:revision>
  <dcterms:created xsi:type="dcterms:W3CDTF">2026-09-19T02:18:00Z</dcterms:created>
  <dcterms:modified xsi:type="dcterms:W3CDTF">2026-09-18T18:18:00Z</dcterms:modified>
</cp:coreProperties>
</file>